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cs="Arial" w:eastAsiaTheme="minorEastAsia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bookmarkStart w:id="0" w:name="_Hlk41145946"/>
      <w:r>
        <w:rPr>
          <w:rFonts w:hint="eastAsia" w:ascii="Arial" w:hAnsi="Arial" w:cs="Arial"/>
          <w:b/>
          <w:lang w:val="en-US" w:eastAsia="zh-CN"/>
        </w:rPr>
        <w:t>8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cs="Arial"/>
          <w:b/>
          <w:bCs/>
        </w:rPr>
        <w:t>3</w:t>
      </w:r>
      <w:r>
        <w:rPr>
          <w:rFonts w:hint="eastAsia" w:ascii="Arial" w:hAnsi="Arial" w:cs="Arial"/>
          <w:b/>
          <w:bCs/>
          <w:lang w:val="en-US" w:eastAsia="zh-CN"/>
        </w:rPr>
        <w:t>11797</w:t>
      </w:r>
      <w:bookmarkStart w:id="9" w:name="_GoBack"/>
      <w:bookmarkEnd w:id="9"/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>
        <w:rPr>
          <w:rFonts w:hint="eastAsia" w:ascii="Arial" w:hAnsi="Arial" w:eastAsia="宋体" w:cs="Arial"/>
          <w:b/>
        </w:rPr>
        <w:t>Toulouse, France, Aug 21- Aug 25, 2023</w:t>
      </w:r>
    </w:p>
    <w:p>
      <w:pPr>
        <w:tabs>
          <w:tab w:val="left" w:pos="1985"/>
        </w:tabs>
        <w:rPr>
          <w:b/>
          <w:sz w:val="22"/>
        </w:rPr>
      </w:pPr>
    </w:p>
    <w:p>
      <w:pPr>
        <w:tabs>
          <w:tab w:val="left" w:pos="1765"/>
          <w:tab w:val="center" w:pos="4557"/>
        </w:tabs>
        <w:rPr>
          <w:rFonts w:hint="eastAsia" w:eastAsiaTheme="minorEastAsia"/>
          <w:b/>
          <w:sz w:val="22"/>
          <w:lang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sz w:val="22"/>
        </w:rPr>
        <w:t>8.1</w:t>
      </w:r>
      <w:r>
        <w:rPr>
          <w:rFonts w:hint="eastAsia"/>
          <w:sz w:val="22"/>
          <w:lang w:val="en-US" w:eastAsia="zh-CN"/>
        </w:rPr>
        <w:t>3</w:t>
      </w:r>
      <w:r>
        <w:rPr>
          <w:sz w:val="22"/>
        </w:rPr>
        <w:t>.5.</w:t>
      </w:r>
      <w:r>
        <w:rPr>
          <w:rFonts w:hint="eastAsia"/>
          <w:sz w:val="22"/>
          <w:lang w:val="en-US" w:eastAsia="zh-CN"/>
        </w:rPr>
        <w:t>2</w:t>
      </w:r>
    </w:p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_Hlk41145953"/>
      <w:bookmarkStart w:id="3" w:name="OLE_LINK8"/>
      <w:bookmarkStart w:id="4" w:name="OLE_LINK7"/>
      <w:r>
        <w:rPr>
          <w:sz w:val="22"/>
        </w:rPr>
        <w:t xml:space="preserve"> Simulation results for ATG PDSCH demodulation</w:t>
      </w:r>
      <w:bookmarkEnd w:id="2"/>
    </w:p>
    <w:bookmarkEnd w:id="3"/>
    <w:bookmarkEnd w:id="4"/>
    <w:p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>
      <w:pPr>
        <w:tabs>
          <w:tab w:val="left" w:pos="1134"/>
        </w:tabs>
        <w:spacing w:after="120" w:line="240" w:lineRule="exact"/>
        <w:rPr>
          <w:sz w:val="20"/>
          <w:szCs w:val="20"/>
        </w:rPr>
      </w:pPr>
      <w:r>
        <w:rPr>
          <w:sz w:val="20"/>
          <w:szCs w:val="20"/>
          <w:lang w:val="en-GB"/>
        </w:rPr>
        <w:t>After</w:t>
      </w:r>
      <w:r>
        <w:rPr>
          <w:sz w:val="20"/>
          <w:szCs w:val="20"/>
        </w:rPr>
        <w:t xml:space="preserve"> RAN</w:t>
      </w:r>
      <w:r>
        <w:rPr>
          <w:rFonts w:hint="eastAsia"/>
          <w:sz w:val="20"/>
          <w:szCs w:val="20"/>
        </w:rPr>
        <w:t>4</w:t>
      </w:r>
      <w:r>
        <w:rPr>
          <w:sz w:val="20"/>
          <w:szCs w:val="20"/>
        </w:rPr>
        <w:t>#</w:t>
      </w:r>
      <w:r>
        <w:rPr>
          <w:rFonts w:hint="eastAsia"/>
          <w:sz w:val="20"/>
          <w:szCs w:val="20"/>
        </w:rPr>
        <w:t>10</w:t>
      </w:r>
      <w:r>
        <w:rPr>
          <w:rFonts w:hint="eastAsia"/>
          <w:sz w:val="20"/>
          <w:szCs w:val="20"/>
          <w:lang w:val="en-US" w:eastAsia="zh-CN"/>
        </w:rPr>
        <w:t>7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meeting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  <w:lang w:val="en-US" w:eastAsia="zh-CN"/>
        </w:rPr>
        <w:t xml:space="preserve">the simulation assumption is agreed </w:t>
      </w:r>
      <w:r>
        <w:rPr>
          <w:sz w:val="20"/>
          <w:szCs w:val="20"/>
        </w:rPr>
        <w:t xml:space="preserve">[1]. In this contribution, we provide our simulation results. </w:t>
      </w: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5" w:name="OLE_LINK2"/>
      <w:bookmarkStart w:id="6" w:name="OLE_LINK1"/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results</w:t>
      </w:r>
      <w:bookmarkStart w:id="7" w:name="_Hlk70326378"/>
    </w:p>
    <w:p>
      <w:pPr>
        <w:spacing w:before="312" w:beforeLines="100"/>
        <w:rPr>
          <w:rFonts w:eastAsia="Malgun Gothic" w:cs="Symbol"/>
          <w:b/>
          <w:i/>
          <w:iCs/>
          <w:sz w:val="20"/>
          <w:u w:val="single"/>
          <w:lang w:eastAsia="ko-KR"/>
        </w:rPr>
      </w:pPr>
      <w:r>
        <w:rPr>
          <w:rFonts w:eastAsia="等线" w:cs="Symbol"/>
          <w:b/>
          <w:i/>
          <w:iCs/>
          <w:sz w:val="20"/>
          <w:u w:val="single"/>
          <w:lang w:eastAsia="ko-KR"/>
        </w:rPr>
        <w:t>Simulation results</w:t>
      </w: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FDD cases are provided in the table below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FDD SCS=15kHz AWGN+220Hz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2T2R</w:t>
            </w:r>
          </w:p>
        </w:tc>
        <w:tc>
          <w:tcPr>
            <w:tcW w:w="1780" w:type="dxa"/>
            <w:vMerge w:val="restart"/>
            <w:shd w:val="clear" w:color="auto" w:fill="auto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80" w:type="dxa"/>
            <w:vMerge w:val="restart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Table1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Table1 22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Table2 20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Table2 24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Table2 27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T4R</w:t>
            </w:r>
          </w:p>
        </w:tc>
        <w:tc>
          <w:tcPr>
            <w:tcW w:w="1780" w:type="dxa"/>
            <w:vMerge w:val="restart"/>
            <w:shd w:val="clear" w:color="auto" w:fill="auto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80" w:type="dxa"/>
            <w:vMerge w:val="restart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Table1 </w:t>
            </w:r>
            <w:r>
              <w:rPr>
                <w:rFonts w:hint="eastAsia"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Table1 22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Table2 20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C5E0B3" w:themeFill="accent6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Table2 24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C5E0B3" w:themeFill="accent6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Table2 27</w:t>
            </w:r>
          </w:p>
        </w:tc>
        <w:tc>
          <w:tcPr>
            <w:tcW w:w="1781" w:type="dxa"/>
            <w:vAlign w:val="top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</w:t>
            </w:r>
          </w:p>
        </w:tc>
      </w:tr>
    </w:tbl>
    <w:p>
      <w:pPr>
        <w:tabs>
          <w:tab w:val="left" w:pos="1134"/>
        </w:tabs>
        <w:spacing w:before="120" w:after="156" w:afterLines="50"/>
        <w:rPr>
          <w:rFonts w:hint="eastAsia" w:eastAsiaTheme="minorEastAsia"/>
          <w:sz w:val="20"/>
          <w:szCs w:val="20"/>
          <w:lang w:eastAsia="zh-CN"/>
        </w:rPr>
      </w:pPr>
      <w:r>
        <w:rPr>
          <w:rFonts w:hint="eastAsia" w:eastAsiaTheme="minorEastAsia"/>
          <w:sz w:val="20"/>
          <w:szCs w:val="20"/>
          <w:lang w:eastAsia="zh-CN"/>
        </w:rPr>
        <w:drawing>
          <wp:inline distT="0" distB="0" distL="114300" distR="114300">
            <wp:extent cx="5781675" cy="4425950"/>
            <wp:effectExtent l="0" t="0" r="9525" b="6350"/>
            <wp:docPr id="2" name="图片 2" descr="d0deade5a7687e29f38925d5940c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0deade5a7687e29f38925d5940c55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4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134"/>
        </w:tabs>
        <w:spacing w:before="120" w:after="156" w:afterLines="50"/>
        <w:rPr>
          <w:rFonts w:hint="eastAsia" w:eastAsiaTheme="minorEastAsia"/>
          <w:sz w:val="20"/>
          <w:szCs w:val="20"/>
          <w:lang w:eastAsia="zh-CN"/>
        </w:rPr>
      </w:pPr>
    </w:p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  <w:r>
        <w:rPr>
          <w:rFonts w:hint="eastAsia"/>
          <w:sz w:val="20"/>
          <w:szCs w:val="20"/>
        </w:rPr>
        <w:t>O</w:t>
      </w:r>
      <w:r>
        <w:rPr>
          <w:sz w:val="20"/>
          <w:szCs w:val="20"/>
        </w:rPr>
        <w:t>ur simulation results of FR1 TDD cases are provided in the table below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1" w:type="dxa"/>
            <w:gridSpan w:val="5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TDD SCS=30kHz AWGN+500Hz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Antenna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BWP(MHz)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PRBs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SNR（70%TP）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2T2R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hint="eastAsia" w:ascii="Times New Roman" w:hAnsi="Times New Roman" w:cs="Times New Roman"/>
              </w:rPr>
              <w:t>0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Table1 </w:t>
            </w:r>
            <w:r>
              <w:rPr>
                <w:rFonts w:hint="eastAsia"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Table1 22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Table2 20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Table2 24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F7CAAC" w:themeFill="accent2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Table2 27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restart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Times New Roman"/>
              </w:rPr>
              <w:t>T4R</w:t>
            </w:r>
          </w:p>
        </w:tc>
        <w:tc>
          <w:tcPr>
            <w:tcW w:w="1780" w:type="dxa"/>
            <w:vMerge w:val="restart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hint="eastAsia" w:ascii="Times New Roman" w:hAnsi="Times New Roman" w:cs="Times New Roman"/>
              </w:rPr>
              <w:t>0</w:t>
            </w:r>
          </w:p>
        </w:tc>
        <w:tc>
          <w:tcPr>
            <w:tcW w:w="1780" w:type="dxa"/>
            <w:vMerge w:val="restart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Table1 </w:t>
            </w:r>
            <w:r>
              <w:rPr>
                <w:rFonts w:hint="eastAsia"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hint="eastAsia"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Table1 22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Table2 20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C5E0B3" w:themeFill="accent6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Table2 24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Merge w:val="continue"/>
            <w:shd w:val="clear" w:color="auto" w:fill="C5E0B3" w:themeFill="accent6" w:themeFillTint="66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  <w:shd w:val="clear" w:color="auto" w:fill="auto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vMerge w:val="continue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Table2 27</w:t>
            </w:r>
          </w:p>
        </w:tc>
        <w:tc>
          <w:tcPr>
            <w:tcW w:w="1781" w:type="dxa"/>
          </w:tcPr>
          <w:p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</w:t>
            </w:r>
          </w:p>
        </w:tc>
      </w:tr>
    </w:tbl>
    <w:p>
      <w:pPr>
        <w:tabs>
          <w:tab w:val="left" w:pos="1134"/>
        </w:tabs>
        <w:spacing w:before="120" w:after="156" w:afterLines="50"/>
      </w:pPr>
    </w:p>
    <w:p>
      <w:pPr>
        <w:tabs>
          <w:tab w:val="left" w:pos="1134"/>
        </w:tabs>
        <w:spacing w:before="120" w:after="156" w:afterLines="50"/>
      </w:pPr>
      <w:r>
        <w:rPr>
          <w:rFonts w:hint="eastAsia" w:eastAsiaTheme="minorEastAsia"/>
          <w:sz w:val="20"/>
          <w:szCs w:val="20"/>
          <w:lang w:eastAsia="zh-CN"/>
        </w:rPr>
        <w:drawing>
          <wp:inline distT="0" distB="0" distL="114300" distR="114300">
            <wp:extent cx="5781675" cy="4425950"/>
            <wp:effectExtent l="0" t="0" r="9525" b="6350"/>
            <wp:docPr id="1" name="图片 1" descr="ec71fab3d7173fcb05f2cc0f8fbc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c71fab3d7173fcb05f2cc0f8fbc92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442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3"/>
        </w:numP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Simulation assumption</w:t>
      </w:r>
    </w:p>
    <w:tbl>
      <w:tblPr>
        <w:tblStyle w:val="8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3065"/>
        <w:gridCol w:w="1559"/>
        <w:gridCol w:w="1701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Test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bookmarkStart w:id="8" w:name="_Hlk135760729"/>
            <w:r>
              <w:rPr>
                <w:rFonts w:eastAsia="宋体"/>
                <w:sz w:val="20"/>
                <w:szCs w:val="20"/>
              </w:rPr>
              <w:t>Frequency range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b/>
                <w:bCs/>
                <w:sz w:val="20"/>
                <w:szCs w:val="20"/>
              </w:rPr>
            </w:pPr>
            <w:r>
              <w:rPr>
                <w:rFonts w:eastAsia="宋体"/>
                <w:b/>
                <w:bCs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Bandwidth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MHz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Theme="minorEastAsia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Subcarrier spacing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kHz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15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Duplex Mode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FDD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1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TDD Slot Configuration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N/A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7D1S2U S:6D+4G+4U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30D4S6U S:40G</w:t>
            </w:r>
          </w:p>
        </w:tc>
      </w:tr>
      <w:bookmark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Propagation channel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AWGN+220Hz doppler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AWGN+500Hz doppler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4361" w:type="dxa"/>
            <w:gridSpan w:val="2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Antenna configuration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2x4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Beamforming Model  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As defined in Annex B.4.1 in TS 38.101-4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MCS/Rank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kern w:val="2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16QAM </w:t>
            </w:r>
            <w:r>
              <w:rPr>
                <w:rFonts w:eastAsia="宋体"/>
                <w:kern w:val="2"/>
                <w:sz w:val="20"/>
                <w:szCs w:val="20"/>
              </w:rPr>
              <w:t>Table 1 MCS</w:t>
            </w:r>
            <w:r>
              <w:rPr>
                <w:rFonts w:hint="eastAsia" w:eastAsia="宋体"/>
                <w:kern w:val="2"/>
                <w:sz w:val="20"/>
                <w:szCs w:val="20"/>
              </w:rPr>
              <w:t>1</w:t>
            </w:r>
            <w:r>
              <w:rPr>
                <w:rFonts w:eastAsia="宋体"/>
                <w:kern w:val="2"/>
                <w:sz w:val="20"/>
                <w:szCs w:val="20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1 MCS 22</w:t>
            </w:r>
          </w:p>
          <w:p>
            <w:pPr>
              <w:overflowPunct/>
              <w:autoSpaceDE/>
              <w:autoSpaceDN/>
              <w:adjustRightInd/>
              <w:spacing w:after="120" w:line="240" w:lineRule="auto"/>
              <w:textAlignment w:val="auto"/>
              <w:rPr>
                <w:rFonts w:eastAsiaTheme="minorEastAsia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</w:t>
            </w:r>
            <w:r>
              <w:rPr>
                <w:rFonts w:hint="eastAsia" w:eastAsiaTheme="minorEastAsia"/>
                <w:kern w:val="2"/>
                <w:sz w:val="20"/>
                <w:szCs w:val="20"/>
              </w:rPr>
              <w:t>2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MCS </w:t>
            </w:r>
            <w:r>
              <w:rPr>
                <w:rFonts w:hint="eastAsia" w:eastAsiaTheme="minorEastAsia"/>
                <w:kern w:val="2"/>
                <w:sz w:val="20"/>
                <w:szCs w:val="20"/>
              </w:rPr>
              <w:t>20/24/27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</w:rPr>
              <w:t>R</w:t>
            </w:r>
            <w:r>
              <w:rPr>
                <w:rFonts w:eastAsia="宋体"/>
                <w:sz w:val="20"/>
                <w:szCs w:val="20"/>
              </w:rPr>
              <w:t>ank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kern w:val="2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16QAM </w:t>
            </w:r>
            <w:r>
              <w:rPr>
                <w:rFonts w:eastAsia="宋体"/>
                <w:kern w:val="2"/>
                <w:sz w:val="20"/>
                <w:szCs w:val="20"/>
              </w:rPr>
              <w:t>Table 1 MCS</w:t>
            </w:r>
            <w:r>
              <w:rPr>
                <w:rFonts w:hint="eastAsia" w:eastAsia="宋体"/>
                <w:kern w:val="2"/>
                <w:sz w:val="20"/>
                <w:szCs w:val="20"/>
              </w:rPr>
              <w:t>1</w:t>
            </w:r>
            <w:r>
              <w:rPr>
                <w:rFonts w:eastAsia="宋体"/>
                <w:kern w:val="2"/>
                <w:sz w:val="20"/>
                <w:szCs w:val="20"/>
              </w:rPr>
              <w:t>3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64QAM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1 MCS 22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256QAM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Table </w:t>
            </w:r>
            <w:r>
              <w:rPr>
                <w:rFonts w:hint="eastAsia" w:eastAsiaTheme="minorEastAsia"/>
                <w:kern w:val="2"/>
                <w:sz w:val="20"/>
                <w:szCs w:val="20"/>
              </w:rPr>
              <w:t>2</w:t>
            </w:r>
            <w:r>
              <w:rPr>
                <w:rFonts w:eastAsia="宋体"/>
                <w:kern w:val="2"/>
                <w:sz w:val="20"/>
                <w:szCs w:val="20"/>
              </w:rPr>
              <w:t xml:space="preserve"> MCS </w:t>
            </w:r>
            <w:r>
              <w:rPr>
                <w:rFonts w:hint="eastAsia" w:eastAsiaTheme="minorEastAsia"/>
                <w:kern w:val="2"/>
                <w:sz w:val="20"/>
                <w:szCs w:val="20"/>
              </w:rPr>
              <w:t>20/24/27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Receiver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MMSE-IRC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configuration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Mapping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Starting symbol (S)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Length (L)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size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PRB bundling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VRB-to-PRB mapping interleaver bundle size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PDSCH DMRS configuration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DMRS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additional DMRS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OFDM symbols for DL front loaded DMRS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NZP CSI-RS for CSI acquisition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</w:t>
            </w:r>
            <w:r>
              <w:rPr>
                <w:rFonts w:eastAsia="宋体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QCL info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296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ZP CSI-RS for CSI acquisition</w:t>
            </w: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Row index (Note 3)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subcarrier index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k</w:t>
            </w:r>
            <w:r>
              <w:rPr>
                <w:rFonts w:eastAsia="宋体"/>
                <w:sz w:val="20"/>
                <w:szCs w:val="20"/>
                <w:vertAlign w:val="subscript"/>
              </w:rPr>
              <w:t xml:space="preserve">0 </w:t>
            </w:r>
            <w:r>
              <w:rPr>
                <w:rFonts w:eastAsia="宋体"/>
                <w:sz w:val="20"/>
                <w:szCs w:val="20"/>
              </w:rPr>
              <w:t>=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First OFDM symbol in the PRB used for CSI-RS 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l</w:t>
            </w:r>
            <w:r>
              <w:rPr>
                <w:rFonts w:eastAsia="宋体"/>
                <w:sz w:val="20"/>
                <w:szCs w:val="20"/>
                <w:vertAlign w:val="subscript"/>
              </w:rPr>
              <w:t>0</w:t>
            </w:r>
            <w:r>
              <w:rPr>
                <w:rFonts w:eastAsia="宋体"/>
                <w:sz w:val="20"/>
                <w:szCs w:val="20"/>
              </w:rPr>
              <w:t xml:space="preserve"> 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CSI-RS ports (X)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CDM Type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'FD-CDM2'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Density (ρ)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periodicity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20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CSI-RS offset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Slots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Frequency Occupation</w:t>
            </w:r>
          </w:p>
        </w:tc>
        <w:tc>
          <w:tcPr>
            <w:tcW w:w="1559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Start PRB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296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3065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PRB = ceil(BWP size/4)*4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Maximum number of HARQ transmission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Number of HARQ Processes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1701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4</w:t>
            </w:r>
          </w:p>
        </w:tc>
        <w:tc>
          <w:tcPr>
            <w:tcW w:w="1710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8 for 7DS2U</w:t>
            </w:r>
            <w:r>
              <w:rPr>
                <w:rFonts w:eastAsia="宋体"/>
                <w:sz w:val="20"/>
                <w:szCs w:val="20"/>
              </w:rPr>
              <w:br w:type="textWrapping"/>
            </w:r>
            <w:r>
              <w:rPr>
                <w:rFonts w:eastAsia="宋体"/>
                <w:sz w:val="20"/>
                <w:szCs w:val="20"/>
              </w:rPr>
              <w:t>32 for 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436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Test metric</w:t>
            </w:r>
          </w:p>
        </w:tc>
        <w:tc>
          <w:tcPr>
            <w:tcW w:w="1559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　</w:t>
            </w:r>
          </w:p>
        </w:tc>
        <w:tc>
          <w:tcPr>
            <w:tcW w:w="3411" w:type="dxa"/>
            <w:gridSpan w:val="2"/>
          </w:tcPr>
          <w:p>
            <w:pPr>
              <w:overflowPunct w:val="0"/>
              <w:autoSpaceDE w:val="0"/>
              <w:autoSpaceDN w:val="0"/>
              <w:adjustRightInd w:val="0"/>
              <w:spacing w:after="120" w:line="276" w:lineRule="auto"/>
              <w:textAlignment w:val="baseline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>70% of max throughput at target SNR.</w:t>
            </w:r>
          </w:p>
        </w:tc>
      </w:tr>
    </w:tbl>
    <w:p>
      <w:pPr>
        <w:tabs>
          <w:tab w:val="left" w:pos="1134"/>
        </w:tabs>
        <w:spacing w:before="120" w:after="156" w:afterLines="50"/>
        <w:rPr>
          <w:sz w:val="20"/>
          <w:szCs w:val="20"/>
        </w:rPr>
      </w:pPr>
    </w:p>
    <w:bookmarkEnd w:id="7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>
      <w:pPr>
        <w:spacing w:before="6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In this contribution, we </w:t>
      </w:r>
      <w:r>
        <w:rPr>
          <w:sz w:val="20"/>
          <w:szCs w:val="20"/>
        </w:rPr>
        <w:t>provide our simulation results about NR UE ATG demodulation requirements.</w:t>
      </w:r>
    </w:p>
    <w:bookmarkEnd w:id="5"/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</w:t>
      </w:r>
      <w:r>
        <w:rPr>
          <w:sz w:val="20"/>
          <w:szCs w:val="20"/>
          <w:lang w:val="en-GB"/>
        </w:rPr>
        <w:t>1] R4-230</w:t>
      </w:r>
      <w:r>
        <w:rPr>
          <w:rFonts w:hint="eastAsia"/>
          <w:sz w:val="20"/>
          <w:szCs w:val="20"/>
          <w:lang w:val="en-US" w:eastAsia="zh-CN"/>
        </w:rPr>
        <w:t>9796</w:t>
      </w:r>
      <w:r>
        <w:rPr>
          <w:sz w:val="20"/>
          <w:szCs w:val="20"/>
          <w:lang w:val="en-GB"/>
        </w:rPr>
        <w:t>, WF for ATG demodulation requirements, CMCC.</w:t>
      </w:r>
    </w:p>
    <w:p>
      <w:pPr>
        <w:rPr>
          <w:sz w:val="20"/>
          <w:szCs w:val="20"/>
          <w:lang w:val="en-GB"/>
        </w:rPr>
      </w:pPr>
    </w:p>
    <w:p>
      <w:pPr>
        <w:rPr>
          <w:sz w:val="20"/>
          <w:szCs w:val="20"/>
          <w:lang w:val="en-GB"/>
        </w:rPr>
      </w:pPr>
    </w:p>
    <w:sectPr>
      <w:pgSz w:w="11900" w:h="16840"/>
      <w:pgMar w:top="1440" w:right="985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E70"/>
    <w:rsid w:val="00021FAA"/>
    <w:rsid w:val="00022E95"/>
    <w:rsid w:val="00022ECE"/>
    <w:rsid w:val="00023769"/>
    <w:rsid w:val="0002380B"/>
    <w:rsid w:val="00023948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2823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05E"/>
    <w:rsid w:val="000D31E6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5A06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17DFE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36F"/>
    <w:rsid w:val="001E040D"/>
    <w:rsid w:val="001E13D2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319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5E6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25A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EB0"/>
    <w:rsid w:val="00276300"/>
    <w:rsid w:val="00276858"/>
    <w:rsid w:val="00276877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182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38C"/>
    <w:rsid w:val="002C1526"/>
    <w:rsid w:val="002C185F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08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C95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0D10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480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5C2"/>
    <w:rsid w:val="003C6F3D"/>
    <w:rsid w:val="003C7180"/>
    <w:rsid w:val="003C76AC"/>
    <w:rsid w:val="003C7734"/>
    <w:rsid w:val="003C77B1"/>
    <w:rsid w:val="003C7887"/>
    <w:rsid w:val="003C7ED8"/>
    <w:rsid w:val="003C7F63"/>
    <w:rsid w:val="003D0A96"/>
    <w:rsid w:val="003D0B97"/>
    <w:rsid w:val="003D1BC5"/>
    <w:rsid w:val="003D1E2D"/>
    <w:rsid w:val="003D2922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0F5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5C3F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108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A09"/>
    <w:rsid w:val="00456CB6"/>
    <w:rsid w:val="00456EB1"/>
    <w:rsid w:val="00456F16"/>
    <w:rsid w:val="00456FC3"/>
    <w:rsid w:val="0045725A"/>
    <w:rsid w:val="004574FC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49D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CE2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089"/>
    <w:rsid w:val="004F6F4E"/>
    <w:rsid w:val="004F6F60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184"/>
    <w:rsid w:val="005C5382"/>
    <w:rsid w:val="005C5B41"/>
    <w:rsid w:val="005C5B54"/>
    <w:rsid w:val="005C613A"/>
    <w:rsid w:val="005C6329"/>
    <w:rsid w:val="005C71B6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C75"/>
    <w:rsid w:val="00606FC0"/>
    <w:rsid w:val="006078A3"/>
    <w:rsid w:val="006102AB"/>
    <w:rsid w:val="006104D4"/>
    <w:rsid w:val="00610936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BC1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11DF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AB0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0C8B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277"/>
    <w:rsid w:val="007464D8"/>
    <w:rsid w:val="00746506"/>
    <w:rsid w:val="00747BF5"/>
    <w:rsid w:val="00750710"/>
    <w:rsid w:val="0075073E"/>
    <w:rsid w:val="00750790"/>
    <w:rsid w:val="0075091B"/>
    <w:rsid w:val="00750952"/>
    <w:rsid w:val="00750FED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091"/>
    <w:rsid w:val="007902CC"/>
    <w:rsid w:val="007906EC"/>
    <w:rsid w:val="00790858"/>
    <w:rsid w:val="00790B91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845"/>
    <w:rsid w:val="008016F2"/>
    <w:rsid w:val="00801BA3"/>
    <w:rsid w:val="00803A51"/>
    <w:rsid w:val="008044DA"/>
    <w:rsid w:val="00804638"/>
    <w:rsid w:val="00804725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9C6"/>
    <w:rsid w:val="00871DE9"/>
    <w:rsid w:val="0087248C"/>
    <w:rsid w:val="0087282A"/>
    <w:rsid w:val="008732D4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EB9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1B09"/>
    <w:rsid w:val="008E2159"/>
    <w:rsid w:val="008E2242"/>
    <w:rsid w:val="008E22BA"/>
    <w:rsid w:val="008E295A"/>
    <w:rsid w:val="008E2CCA"/>
    <w:rsid w:val="008E2D68"/>
    <w:rsid w:val="008E2FD8"/>
    <w:rsid w:val="008E3291"/>
    <w:rsid w:val="008E3AD1"/>
    <w:rsid w:val="008E3E45"/>
    <w:rsid w:val="008E3F2D"/>
    <w:rsid w:val="008E446C"/>
    <w:rsid w:val="008E4550"/>
    <w:rsid w:val="008E4B1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57EA1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11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A79ED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1BF9"/>
    <w:rsid w:val="00A0252D"/>
    <w:rsid w:val="00A02951"/>
    <w:rsid w:val="00A03B55"/>
    <w:rsid w:val="00A03D73"/>
    <w:rsid w:val="00A042F0"/>
    <w:rsid w:val="00A0476D"/>
    <w:rsid w:val="00A05051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3FA"/>
    <w:rsid w:val="00A10454"/>
    <w:rsid w:val="00A1051D"/>
    <w:rsid w:val="00A10A88"/>
    <w:rsid w:val="00A10ED2"/>
    <w:rsid w:val="00A1118C"/>
    <w:rsid w:val="00A1149C"/>
    <w:rsid w:val="00A117A7"/>
    <w:rsid w:val="00A1186B"/>
    <w:rsid w:val="00A11921"/>
    <w:rsid w:val="00A12103"/>
    <w:rsid w:val="00A12DAC"/>
    <w:rsid w:val="00A134EC"/>
    <w:rsid w:val="00A13BAF"/>
    <w:rsid w:val="00A140FA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344"/>
    <w:rsid w:val="00A3669A"/>
    <w:rsid w:val="00A36708"/>
    <w:rsid w:val="00A40D5B"/>
    <w:rsid w:val="00A4101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56A3F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6A4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6A9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3E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737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841"/>
    <w:rsid w:val="00AF1C4C"/>
    <w:rsid w:val="00AF1C82"/>
    <w:rsid w:val="00AF1ECD"/>
    <w:rsid w:val="00AF2423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4C24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5E8C"/>
    <w:rsid w:val="00B664AE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4DF"/>
    <w:rsid w:val="00BA3522"/>
    <w:rsid w:val="00BA3711"/>
    <w:rsid w:val="00BA3760"/>
    <w:rsid w:val="00BA3858"/>
    <w:rsid w:val="00BA38B2"/>
    <w:rsid w:val="00BA3ABC"/>
    <w:rsid w:val="00BA3AC6"/>
    <w:rsid w:val="00BA457D"/>
    <w:rsid w:val="00BA45F2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3FD"/>
    <w:rsid w:val="00BC0612"/>
    <w:rsid w:val="00BC074C"/>
    <w:rsid w:val="00BC0B56"/>
    <w:rsid w:val="00BC186A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4505"/>
    <w:rsid w:val="00C24FF7"/>
    <w:rsid w:val="00C24FF9"/>
    <w:rsid w:val="00C25216"/>
    <w:rsid w:val="00C25D2F"/>
    <w:rsid w:val="00C26CA0"/>
    <w:rsid w:val="00C275D7"/>
    <w:rsid w:val="00C27776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1CE9"/>
    <w:rsid w:val="00C52355"/>
    <w:rsid w:val="00C52A93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0B13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B94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3CA0"/>
    <w:rsid w:val="00C941F5"/>
    <w:rsid w:val="00C94786"/>
    <w:rsid w:val="00C9499E"/>
    <w:rsid w:val="00C94E27"/>
    <w:rsid w:val="00C9523F"/>
    <w:rsid w:val="00C95343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1EA"/>
    <w:rsid w:val="00CF3C0D"/>
    <w:rsid w:val="00CF430D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57F86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223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54A"/>
    <w:rsid w:val="00E0281F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023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4B5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2F87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72A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47C83"/>
    <w:rsid w:val="00F505E1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1A0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3844"/>
    <w:rsid w:val="00F6393C"/>
    <w:rsid w:val="00F63B78"/>
    <w:rsid w:val="00F64430"/>
    <w:rsid w:val="00F64446"/>
    <w:rsid w:val="00F64786"/>
    <w:rsid w:val="00F656AB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BF5"/>
    <w:rsid w:val="00F770DD"/>
    <w:rsid w:val="00F77658"/>
    <w:rsid w:val="00F77CE1"/>
    <w:rsid w:val="00F80135"/>
    <w:rsid w:val="00F80A3B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906BB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9CC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0"/>
    <w:rsid w:val="00FD213D"/>
    <w:rsid w:val="00FD28F3"/>
    <w:rsid w:val="00FD2BA7"/>
    <w:rsid w:val="00FD2E3E"/>
    <w:rsid w:val="00FD4170"/>
    <w:rsid w:val="00FD46E2"/>
    <w:rsid w:val="00FD4EF0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AE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016064D5"/>
    <w:rsid w:val="1F726405"/>
    <w:rsid w:val="300F497A"/>
    <w:rsid w:val="5AA555C9"/>
    <w:rsid w:val="5F333E46"/>
    <w:rsid w:val="6161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cs="Times New Roman" w:eastAsiaTheme="minorEastAsia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99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39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cs="Times New Roman" w:eastAsiaTheme="minorEastAsia"/>
      <w:sz w:val="18"/>
      <w:lang w:val="en-US" w:eastAsia="zh-CN" w:bidi="ar-SA"/>
    </w:rPr>
  </w:style>
  <w:style w:type="character" w:customStyle="1" w:styleId="44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页脚 字符"/>
    <w:link w:val="14"/>
    <w:qFormat/>
    <w:uiPriority w:val="99"/>
    <w:rPr>
      <w:sz w:val="18"/>
      <w:szCs w:val="18"/>
    </w:rPr>
  </w:style>
  <w:style w:type="character" w:customStyle="1" w:styleId="47">
    <w:name w:val="批注文字 字符"/>
    <w:basedOn w:val="21"/>
    <w:link w:val="12"/>
    <w:qFormat/>
    <w:uiPriority w:val="99"/>
  </w:style>
  <w:style w:type="character" w:customStyle="1" w:styleId="48">
    <w:name w:val="批注主题 字符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customStyle="1" w:styleId="7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styleId="78">
    <w:name w:val="Placeholder Text"/>
    <w:basedOn w:val="21"/>
    <w:unhideWhenUsed/>
    <w:qFormat/>
    <w:uiPriority w:val="99"/>
    <w:rPr>
      <w:color w:val="808080"/>
    </w:rPr>
  </w:style>
  <w:style w:type="paragraph" w:customStyle="1" w:styleId="79">
    <w:name w:val="PL"/>
    <w:link w:val="8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0">
    <w:name w:val="PL Char"/>
    <w:link w:val="7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81">
    <w:name w:val="Proposal"/>
    <w:basedOn w:val="1"/>
    <w:link w:val="82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宋体"/>
      <w:b/>
      <w:bCs/>
      <w:sz w:val="20"/>
      <w:szCs w:val="20"/>
      <w:lang w:val="en-GB"/>
    </w:rPr>
  </w:style>
  <w:style w:type="character" w:customStyle="1" w:styleId="82">
    <w:name w:val="Proposal Char"/>
    <w:link w:val="81"/>
    <w:qFormat/>
    <w:uiPriority w:val="0"/>
    <w:rPr>
      <w:rFonts w:ascii="Arial" w:hAnsi="Arial" w:eastAsia="宋体"/>
      <w:b/>
      <w:bCs/>
      <w:lang w:val="en-GB"/>
    </w:rPr>
  </w:style>
  <w:style w:type="character" w:customStyle="1" w:styleId="83">
    <w:name w:val="normaltextrun"/>
    <w:basedOn w:val="21"/>
    <w:qFormat/>
    <w:uiPriority w:val="0"/>
  </w:style>
  <w:style w:type="table" w:customStyle="1" w:styleId="84">
    <w:name w:val="网格型1"/>
    <w:basedOn w:val="19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476</Words>
  <Characters>2714</Characters>
  <Lines>22</Lines>
  <Paragraphs>6</Paragraphs>
  <TotalTime>2</TotalTime>
  <ScaleCrop>false</ScaleCrop>
  <LinksUpToDate>false</LinksUpToDate>
  <CharactersWithSpaces>3184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王诗源</cp:lastModifiedBy>
  <dcterms:modified xsi:type="dcterms:W3CDTF">2023-08-11T08:01:40Z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72D3A893453644688EA841A72DC1B49E</vt:lpwstr>
  </property>
</Properties>
</file>